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36F14" w:rsidRDefault="00BC7615">
      <w:bookmarkStart w:id="0" w:name="_GoBack"/>
      <w:bookmarkEnd w:id="0"/>
      <w:r w:rsidRPr="0037274A">
        <w:rPr>
          <w:b/>
        </w:rPr>
        <w:t>DENUNCIA ALTERACIÓN Y DAÑO DE SITIOS ARQUEOLÓGICOS POR GUACOLDA TERMOELÉCTRICA</w:t>
      </w:r>
      <w:r>
        <w:t xml:space="preserve"> </w:t>
      </w:r>
      <w:r w:rsidRPr="0037274A">
        <w:rPr>
          <w:b/>
        </w:rPr>
        <w:t>HUASCO</w:t>
      </w:r>
    </w:p>
    <w:p w:rsidR="00BC7615" w:rsidRDefault="00BC7615"/>
    <w:p w:rsidR="00BC7615" w:rsidRDefault="00BC7615">
      <w:r>
        <w:t>DENUNCIANTE: COMUNIDAD DIAGUITA DE HUASCO BAJO</w:t>
      </w:r>
    </w:p>
    <w:p w:rsidR="00BC7615" w:rsidRDefault="00BC7615">
      <w:r>
        <w:t>RUT:</w:t>
      </w:r>
      <w:r w:rsidR="00352706">
        <w:t xml:space="preserve"> 65.104.174-0</w:t>
      </w:r>
    </w:p>
    <w:p w:rsidR="00BC7615" w:rsidRDefault="00BC7615">
      <w:r>
        <w:t>Se muestra evidencia de tres sitios dañados por Guacolda:</w:t>
      </w:r>
    </w:p>
    <w:p w:rsidR="00BC7615" w:rsidRPr="00352706" w:rsidRDefault="00BC7615">
      <w:pPr>
        <w:rPr>
          <w:b/>
        </w:rPr>
      </w:pPr>
      <w:r w:rsidRPr="00352706">
        <w:rPr>
          <w:b/>
        </w:rPr>
        <w:t>1- Sitio cementerio Indígena de patio Bellavista en Huasco bajo.</w:t>
      </w:r>
    </w:p>
    <w:p w:rsidR="0090312D" w:rsidRDefault="00BC7615">
      <w:r>
        <w:t xml:space="preserve">Este sitio fue denunciado en el año 2007 el 18 de diciembre </w:t>
      </w:r>
      <w:r w:rsidR="00A9490F">
        <w:t xml:space="preserve">ante la PDI de Freirina, </w:t>
      </w:r>
      <w:r>
        <w:t xml:space="preserve">por Bonin Arturo Pett Rojas, diaguita, y un arqueólogo. La propiedad pertenece a Homero Callejas y está actualmente siendo alterada por el subcontrato de Guacolda:  Kresta, </w:t>
      </w:r>
      <w:r w:rsidR="0090312D">
        <w:t xml:space="preserve">empresa extranjera que desconocía la presencia del sitio arqueológico, no así Guacolda que sabe de su existencia desde el año 2007 y </w:t>
      </w:r>
      <w:r w:rsidR="00352706">
        <w:t>volvió</w:t>
      </w:r>
      <w:r w:rsidR="0090312D">
        <w:t xml:space="preserve"> a utilizarlo, escondiendo la información de su existencia a Kresta. Guacolda supervisa a Kresta en terreno. Trabajadores de Kresta y Guacolda encuentran piezas arqueológicas como líticos y óseos y los retienen en su poder.</w:t>
      </w:r>
      <w:r w:rsidR="00A9490F">
        <w:t xml:space="preserve">  Existen</w:t>
      </w:r>
      <w:r w:rsidR="004D6DE8">
        <w:t xml:space="preserve"> pruebas de que en el año 2007 G</w:t>
      </w:r>
      <w:r w:rsidR="00A9490F">
        <w:t>uacolda estaba construyendo las unidades 3 y 4 y se hiiceron estudios arqueológicos dentro de la península, no así en el patio de Bellavista.</w:t>
      </w:r>
    </w:p>
    <w:p w:rsidR="00283152" w:rsidRDefault="0090312D">
      <w:r>
        <w:t>Se construyeron 2</w:t>
      </w:r>
      <w:r w:rsidR="00A9490F">
        <w:t xml:space="preserve"> </w:t>
      </w:r>
      <w:r>
        <w:t xml:space="preserve"> galpones en este terreno,</w:t>
      </w:r>
      <w:r w:rsidR="0037274A">
        <w:t xml:space="preserve"> el cual</w:t>
      </w:r>
      <w:r w:rsidR="00A9490F">
        <w:t xml:space="preserve"> se aplanó es</w:t>
      </w:r>
      <w:r>
        <w:t xml:space="preserve"> utiliza</w:t>
      </w:r>
      <w:r w:rsidR="00A9490F">
        <w:t>do</w:t>
      </w:r>
      <w:r>
        <w:t xml:space="preserve"> como acopio de grandes estructuras y maquinaria</w:t>
      </w:r>
      <w:r w:rsidR="0037274A">
        <w:t xml:space="preserve"> pesada</w:t>
      </w:r>
      <w:r w:rsidR="00A9490F">
        <w:t xml:space="preserve">, además </w:t>
      </w:r>
      <w:r>
        <w:t xml:space="preserve">se </w:t>
      </w:r>
      <w:r w:rsidR="00A9490F">
        <w:t xml:space="preserve">ejecutan </w:t>
      </w:r>
      <w:r>
        <w:t xml:space="preserve">trabajos de soldadura en el. El terreno al sur de la carretera (al frente) también fue alterado, hoy está desocupado. </w:t>
      </w:r>
    </w:p>
    <w:p w:rsidR="00BC7615" w:rsidRDefault="00283152">
      <w:r>
        <w:t>Pruebas : Den</w:t>
      </w:r>
      <w:r w:rsidR="004D6DE8">
        <w:t xml:space="preserve">uncia de Bonin Pett  2007 </w:t>
      </w:r>
      <w:r>
        <w:t xml:space="preserve">  </w:t>
      </w:r>
      <w:r w:rsidR="0090312D">
        <w:t xml:space="preserve">  </w:t>
      </w:r>
    </w:p>
    <w:p w:rsidR="00352706" w:rsidRDefault="00352706">
      <w:r>
        <w:t xml:space="preserve">El sitio </w:t>
      </w:r>
      <w:r w:rsidRPr="00352706">
        <w:rPr>
          <w:b/>
        </w:rPr>
        <w:t>aun</w:t>
      </w:r>
      <w:r>
        <w:t xml:space="preserve"> está siendo alterado.</w:t>
      </w:r>
    </w:p>
    <w:p w:rsidR="0037274A" w:rsidRDefault="0037274A">
      <w:r w:rsidRPr="0037274A">
        <w:rPr>
          <w:noProof/>
          <w:lang w:eastAsia="es-CL"/>
        </w:rPr>
        <w:lastRenderedPageBreak/>
        <w:drawing>
          <wp:inline distT="0" distB="0" distL="0" distR="0">
            <wp:extent cx="5612130" cy="3153575"/>
            <wp:effectExtent l="19050" t="0" r="7620" b="0"/>
            <wp:docPr id="5" name="Imagen 1" descr="C:\Users\antonella\Downloads\IMG_20150929_125806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tonella\Downloads\IMG_20150929_125806844.jpg"/>
                    <pic:cNvPicPr>
                      <a:picLocks noChangeAspect="1" noChangeArrowheads="1"/>
                    </pic:cNvPicPr>
                  </pic:nvPicPr>
                  <pic:blipFill>
                    <a:blip r:embed="rId4" cstate="print"/>
                    <a:srcRect/>
                    <a:stretch>
                      <a:fillRect/>
                    </a:stretch>
                  </pic:blipFill>
                  <pic:spPr bwMode="auto">
                    <a:xfrm>
                      <a:off x="0" y="0"/>
                      <a:ext cx="5612130" cy="3153575"/>
                    </a:xfrm>
                    <a:prstGeom prst="rect">
                      <a:avLst/>
                    </a:prstGeom>
                    <a:noFill/>
                    <a:ln w="9525">
                      <a:noFill/>
                      <a:miter lim="800000"/>
                      <a:headEnd/>
                      <a:tailEnd/>
                    </a:ln>
                  </pic:spPr>
                </pic:pic>
              </a:graphicData>
            </a:graphic>
          </wp:inline>
        </w:drawing>
      </w:r>
    </w:p>
    <w:p w:rsidR="00D10CA7" w:rsidRDefault="00D10CA7">
      <w:r>
        <w:rPr>
          <w:noProof/>
          <w:lang w:eastAsia="es-CL"/>
        </w:rPr>
        <w:drawing>
          <wp:inline distT="0" distB="0" distL="0" distR="0">
            <wp:extent cx="5612130" cy="3153575"/>
            <wp:effectExtent l="19050" t="0" r="7620" b="0"/>
            <wp:docPr id="6" name="Imagen 1" descr="C:\Users\antonella\Downloads\IMG_20150929_12583513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tonella\Downloads\IMG_20150929_125835134 (1).jpg"/>
                    <pic:cNvPicPr>
                      <a:picLocks noChangeAspect="1" noChangeArrowheads="1"/>
                    </pic:cNvPicPr>
                  </pic:nvPicPr>
                  <pic:blipFill>
                    <a:blip r:embed="rId5" cstate="print"/>
                    <a:srcRect/>
                    <a:stretch>
                      <a:fillRect/>
                    </a:stretch>
                  </pic:blipFill>
                  <pic:spPr bwMode="auto">
                    <a:xfrm>
                      <a:off x="0" y="0"/>
                      <a:ext cx="5612130" cy="3153575"/>
                    </a:xfrm>
                    <a:prstGeom prst="rect">
                      <a:avLst/>
                    </a:prstGeom>
                    <a:noFill/>
                    <a:ln w="9525">
                      <a:noFill/>
                      <a:miter lim="800000"/>
                      <a:headEnd/>
                      <a:tailEnd/>
                    </a:ln>
                  </pic:spPr>
                </pic:pic>
              </a:graphicData>
            </a:graphic>
          </wp:inline>
        </w:drawing>
      </w:r>
    </w:p>
    <w:p w:rsidR="0037274A" w:rsidRDefault="0037274A">
      <w:r>
        <w:t>octubre 2015</w:t>
      </w:r>
      <w:r w:rsidR="00D10CA7">
        <w:t xml:space="preserve"> se observa uno de los galpones construidos.</w:t>
      </w:r>
    </w:p>
    <w:p w:rsidR="00BC7615" w:rsidRPr="00352706" w:rsidRDefault="00BC7615">
      <w:pPr>
        <w:rPr>
          <w:b/>
        </w:rPr>
      </w:pPr>
      <w:r w:rsidRPr="00352706">
        <w:rPr>
          <w:b/>
        </w:rPr>
        <w:t xml:space="preserve">2- Sitio Conchal de desalinizadora </w:t>
      </w:r>
    </w:p>
    <w:p w:rsidR="0090312D" w:rsidRDefault="0090312D">
      <w:r>
        <w:t>Este sitio es un conchal arqueológico</w:t>
      </w:r>
      <w:r w:rsidR="00A9490F">
        <w:t xml:space="preserve"> que al parecer es el último </w:t>
      </w:r>
      <w:r>
        <w:t>que queda en la isla. Al destruir gran parte de este sitio, Consejo de Monumentos</w:t>
      </w:r>
      <w:r w:rsidR="00A9490F">
        <w:t xml:space="preserve"> nacionales  se enteró de este hecho </w:t>
      </w:r>
      <w:r>
        <w:t xml:space="preserve"> y determinó un monitoreo permanente  de los trabajos al interior de la isla, pero sólo en el Proyecto Ret</w:t>
      </w:r>
      <w:r w:rsidR="00283152">
        <w:t>rofit  1,2 y 4</w:t>
      </w:r>
      <w:r w:rsidR="00352706">
        <w:t>. E</w:t>
      </w:r>
      <w:r>
        <w:t xml:space="preserve">n el contrato de monitoreo no se permitía a los arqueólogos inspeccionar El Puerto las Losas ni el Patio Bellavista, sabiendo Guacolda de que en Bellavista existe un </w:t>
      </w:r>
      <w:r>
        <w:lastRenderedPageBreak/>
        <w:t>cementerio arqueológico y se está trabajando sobre él</w:t>
      </w:r>
      <w:r w:rsidR="00A9490F">
        <w:t xml:space="preserve">, siendo </w:t>
      </w:r>
      <w:r w:rsidR="00A9490F">
        <w:rPr>
          <w:b/>
        </w:rPr>
        <w:t>responsabilidad del mandante, en este caso Guacolda el encargado de tratar los sitios arqueológicos que se encuentren durante sus obras y NO los contratistas.</w:t>
      </w:r>
    </w:p>
    <w:p w:rsidR="00352706" w:rsidRDefault="00352706">
      <w:r>
        <w:t>Además el Consejo de Monumentos indicó que los desmontes del conchal destruido debían protegerse con un cerco en el Puerto Las Losas y así se hizo, pero una retroexcavadora de Guacolda, pasó por encima de una parte de estos desmontes aplanando esa fracción</w:t>
      </w:r>
      <w:r w:rsidR="0037274A">
        <w:t xml:space="preserve"> de los sedimentos acopiados</w:t>
      </w:r>
      <w:r>
        <w:t xml:space="preserve">. </w:t>
      </w:r>
    </w:p>
    <w:p w:rsidR="00283152" w:rsidRDefault="00283152">
      <w:r>
        <w:t>Pruebas: Ordinario N° 2291 del 27 de junio de 2013 del Consejo de Monumentos Nacionales</w:t>
      </w:r>
    </w:p>
    <w:p w:rsidR="001A3A68" w:rsidRDefault="00BC7531">
      <w:r>
        <w:rPr>
          <w:noProof/>
          <w:lang w:eastAsia="es-CL"/>
        </w:rPr>
        <w:drawing>
          <wp:inline distT="0" distB="0" distL="0" distR="0">
            <wp:extent cx="5612130" cy="3153575"/>
            <wp:effectExtent l="19050" t="0" r="7620" b="0"/>
            <wp:docPr id="2" name="Imagen 2" descr="C:\Users\antonella\Pictures\IMG_20150627_1101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tonella\Pictures\IMG_20150627_110110487.jpg"/>
                    <pic:cNvPicPr>
                      <a:picLocks noChangeAspect="1" noChangeArrowheads="1"/>
                    </pic:cNvPicPr>
                  </pic:nvPicPr>
                  <pic:blipFill>
                    <a:blip r:embed="rId6" cstate="print"/>
                    <a:srcRect/>
                    <a:stretch>
                      <a:fillRect/>
                    </a:stretch>
                  </pic:blipFill>
                  <pic:spPr bwMode="auto">
                    <a:xfrm>
                      <a:off x="0" y="0"/>
                      <a:ext cx="5612130" cy="3153575"/>
                    </a:xfrm>
                    <a:prstGeom prst="rect">
                      <a:avLst/>
                    </a:prstGeom>
                    <a:noFill/>
                    <a:ln w="9525">
                      <a:noFill/>
                      <a:miter lim="800000"/>
                      <a:headEnd/>
                      <a:tailEnd/>
                    </a:ln>
                  </pic:spPr>
                </pic:pic>
              </a:graphicData>
            </a:graphic>
          </wp:inline>
        </w:drawing>
      </w:r>
    </w:p>
    <w:p w:rsidR="00BC7531" w:rsidRDefault="00BC7531">
      <w:r>
        <w:rPr>
          <w:noProof/>
          <w:lang w:eastAsia="es-CL"/>
        </w:rPr>
        <w:lastRenderedPageBreak/>
        <w:drawing>
          <wp:inline distT="0" distB="0" distL="0" distR="0">
            <wp:extent cx="5612130" cy="3153575"/>
            <wp:effectExtent l="19050" t="0" r="7620" b="0"/>
            <wp:docPr id="3" name="Imagen 3" descr="C:\Users\antonella\Pictures\IMG_20150627_110120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tonella\Pictures\IMG_20150627_110120378.jpg"/>
                    <pic:cNvPicPr>
                      <a:picLocks noChangeAspect="1" noChangeArrowheads="1"/>
                    </pic:cNvPicPr>
                  </pic:nvPicPr>
                  <pic:blipFill>
                    <a:blip r:embed="rId7" cstate="print"/>
                    <a:srcRect/>
                    <a:stretch>
                      <a:fillRect/>
                    </a:stretch>
                  </pic:blipFill>
                  <pic:spPr bwMode="auto">
                    <a:xfrm>
                      <a:off x="0" y="0"/>
                      <a:ext cx="5612130" cy="3153575"/>
                    </a:xfrm>
                    <a:prstGeom prst="rect">
                      <a:avLst/>
                    </a:prstGeom>
                    <a:noFill/>
                    <a:ln w="9525">
                      <a:noFill/>
                      <a:miter lim="800000"/>
                      <a:headEnd/>
                      <a:tailEnd/>
                    </a:ln>
                  </pic:spPr>
                </pic:pic>
              </a:graphicData>
            </a:graphic>
          </wp:inline>
        </w:drawing>
      </w:r>
    </w:p>
    <w:p w:rsidR="00BC7531" w:rsidRDefault="00BC7531">
      <w:r>
        <w:t>junio 2015  desmonte de sitio conchal de desanilizadora en Las Losas Puerto.</w:t>
      </w:r>
    </w:p>
    <w:p w:rsidR="001A3A68" w:rsidRDefault="001A3A68"/>
    <w:p w:rsidR="00BC7615" w:rsidRPr="00352706" w:rsidRDefault="00BC7615">
      <w:pPr>
        <w:rPr>
          <w:b/>
        </w:rPr>
      </w:pPr>
      <w:r w:rsidRPr="00352706">
        <w:rPr>
          <w:b/>
        </w:rPr>
        <w:t>3- Sitio Ceremonial y cementerio</w:t>
      </w:r>
      <w:r w:rsidR="0037274A">
        <w:rPr>
          <w:b/>
        </w:rPr>
        <w:t xml:space="preserve"> </w:t>
      </w:r>
      <w:r w:rsidRPr="00352706">
        <w:rPr>
          <w:b/>
        </w:rPr>
        <w:t xml:space="preserve"> Inca</w:t>
      </w:r>
      <w:r w:rsidR="0037274A">
        <w:rPr>
          <w:b/>
        </w:rPr>
        <w:t xml:space="preserve"> (Capacocha)</w:t>
      </w:r>
      <w:r w:rsidRPr="00352706">
        <w:rPr>
          <w:b/>
        </w:rPr>
        <w:t xml:space="preserve"> </w:t>
      </w:r>
      <w:r w:rsidR="004D6DE8">
        <w:rPr>
          <w:b/>
        </w:rPr>
        <w:t xml:space="preserve">y Diaguita </w:t>
      </w:r>
      <w:r w:rsidRPr="00352706">
        <w:rPr>
          <w:b/>
        </w:rPr>
        <w:t>de 1994.</w:t>
      </w:r>
    </w:p>
    <w:p w:rsidR="0090312D" w:rsidRDefault="0090312D">
      <w:r>
        <w:t xml:space="preserve">Esta península de Guacolda </w:t>
      </w:r>
      <w:r w:rsidR="00A55E52">
        <w:t>fue un cem</w:t>
      </w:r>
      <w:r>
        <w:t xml:space="preserve">enterio y centro ceremonial Inca </w:t>
      </w:r>
      <w:r w:rsidR="00283152">
        <w:t xml:space="preserve">invaluable y único en su especie ya que es una Capacocha de mar, </w:t>
      </w:r>
      <w:r>
        <w:t xml:space="preserve">que contenía momias y artefactos como figurillas de oro, de </w:t>
      </w:r>
      <w:r w:rsidRPr="00A55E52">
        <w:rPr>
          <w:i/>
        </w:rPr>
        <w:t>Spondyllus</w:t>
      </w:r>
      <w:r>
        <w:t xml:space="preserve"> (molusco </w:t>
      </w:r>
      <w:r w:rsidR="00A55E52">
        <w:t>peruano y ecuatoriano, en Chile no existe) y otros materiales.</w:t>
      </w:r>
      <w:r w:rsidR="00283152">
        <w:t xml:space="preserve"> Además en este sitio se efectuaban hasta los años 1960 las celebraciones y procesiones de la fiesta de San Pedro evidenciando la continuación de la ocupación sagrada del espacio. La gruta que se encuentra en el muelle de Huasco estaba en la Isla Guacolda.</w:t>
      </w:r>
    </w:p>
    <w:p w:rsidR="00035765" w:rsidRDefault="00283152">
      <w:r>
        <w:t>en los años 1995 y 1996 el C</w:t>
      </w:r>
      <w:r w:rsidR="00A55E52">
        <w:t xml:space="preserve">onsejo de Monumentos Nacionales </w:t>
      </w:r>
      <w:r>
        <w:t xml:space="preserve"> y el museo regional de Copiapó se pronuncio ante la destrucción de este sitio, llegando ta</w:t>
      </w:r>
      <w:r w:rsidR="00035765">
        <w:t>rde a su fiscalización, ya que G</w:t>
      </w:r>
      <w:r>
        <w:t>uacolda lo había destruido completamente y los tr</w:t>
      </w:r>
      <w:r w:rsidR="00035765">
        <w:t>abajadores de las empresas cont</w:t>
      </w:r>
      <w:r>
        <w:t>r</w:t>
      </w:r>
      <w:r w:rsidR="00035765">
        <w:t>a</w:t>
      </w:r>
      <w:r>
        <w:t>tistas se llevaron todas las piezas arqueológicas, no pudiendo probars</w:t>
      </w:r>
      <w:r w:rsidR="00A55E52">
        <w:t>e</w:t>
      </w:r>
      <w:r>
        <w:t xml:space="preserve"> est</w:t>
      </w:r>
      <w:r w:rsidR="00035765">
        <w:t>os robos en ese periodo. Se det</w:t>
      </w:r>
      <w:r>
        <w:t>e</w:t>
      </w:r>
      <w:r w:rsidR="00035765">
        <w:t>r</w:t>
      </w:r>
      <w:r>
        <w:t>minó que era un sitio Inca diaguita y Guacolda culpó a los</w:t>
      </w:r>
      <w:r w:rsidR="00035765">
        <w:t xml:space="preserve"> contra</w:t>
      </w:r>
      <w:r>
        <w:t>tistas de esta destrucció</w:t>
      </w:r>
      <w:r w:rsidR="00A55E52">
        <w:t>n</w:t>
      </w:r>
      <w:r w:rsidR="00035765">
        <w:t xml:space="preserve">, siendo  responsabilidad del mandante encargarse de los sitios patrimoniales que encuentre en sus obras. </w:t>
      </w:r>
    </w:p>
    <w:p w:rsidR="00035765" w:rsidRDefault="00035765">
      <w:r>
        <w:t>Si observamos el RCA de 1994- 95 presentado a Corema no se habla de cómo se procederá en caso de encontrar sitios patrimoniales, existiendo ya la ley 17.288 de 1970 de CMN y la ley 19.253 de 1993 de ley indígena.</w:t>
      </w:r>
    </w:p>
    <w:p w:rsidR="00035765" w:rsidRDefault="00035765">
      <w:pPr>
        <w:rPr>
          <w:i/>
        </w:rPr>
      </w:pPr>
      <w:r>
        <w:t xml:space="preserve"> En los año 2007-2008 cuando se denunciaron en Huasco el robo de piezas arqueológicas por particulares la PDI incautó mas de 600 piezas arqueológicas, incluyendo una pieza de oro, de las cuales muchas provenían de la isla Guacolda , esa es la evidencia que no pudo probarse en 1995 sobre el hurto  de piezas patrimoniales en la isla Guacolda</w:t>
      </w:r>
      <w:r w:rsidRPr="00035765">
        <w:rPr>
          <w:i/>
        </w:rPr>
        <w:t xml:space="preserve">, </w:t>
      </w:r>
      <w:r w:rsidRPr="00035765">
        <w:t>según Zambra</w:t>
      </w:r>
      <w:r>
        <w:rPr>
          <w:i/>
        </w:rPr>
        <w:t xml:space="preserve">. </w:t>
      </w:r>
    </w:p>
    <w:p w:rsidR="00035765" w:rsidRPr="00035765" w:rsidRDefault="00035765">
      <w:r>
        <w:t xml:space="preserve">Este legendario sitio ceremonial  es mencionado en algunos estudios arqueológicos como la tesis de  Borlando Hipp, </w:t>
      </w:r>
    </w:p>
    <w:p w:rsidR="0037274A" w:rsidRDefault="00A55E52">
      <w:r>
        <w:t>. Este sitio es de carácter invaluable, ya que muestra al Inca en la costa</w:t>
      </w:r>
      <w:r w:rsidR="0037274A">
        <w:t xml:space="preserve"> y un sitio ceremonial único y es nombrado por arqueólogos en sus trabajos</w:t>
      </w:r>
      <w:r>
        <w:t>.</w:t>
      </w:r>
    </w:p>
    <w:p w:rsidR="00362ED4" w:rsidRDefault="00A55E52">
      <w:r>
        <w:t xml:space="preserve"> Hubo un decomiso por parte de PDI donde se encontraron piezas arqueológicas provenientes de la Isla Guacolda a particulares.</w:t>
      </w:r>
      <w:r w:rsidR="0037274A">
        <w:t xml:space="preserve"> </w:t>
      </w:r>
      <w:r w:rsidR="00362ED4">
        <w:t xml:space="preserve">La destrucción de este sitio es de conocimiento popular en Huasco. </w:t>
      </w:r>
    </w:p>
    <w:p w:rsidR="004657C8" w:rsidRDefault="004657C8"/>
    <w:p w:rsidR="004657C8" w:rsidRDefault="004657C8">
      <w:r>
        <w:rPr>
          <w:noProof/>
          <w:lang w:eastAsia="es-CL"/>
        </w:rPr>
        <w:drawing>
          <wp:inline distT="0" distB="0" distL="0" distR="0">
            <wp:extent cx="5612130" cy="3152439"/>
            <wp:effectExtent l="19050" t="0" r="7620" b="0"/>
            <wp:docPr id="4" name="Imagen 4" descr="C:\Users\antonella\Downloads\IMG-20150517-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tonella\Downloads\IMG-20150517-WA0001.jpg"/>
                    <pic:cNvPicPr>
                      <a:picLocks noChangeAspect="1" noChangeArrowheads="1"/>
                    </pic:cNvPicPr>
                  </pic:nvPicPr>
                  <pic:blipFill>
                    <a:blip r:embed="rId8" cstate="print"/>
                    <a:srcRect/>
                    <a:stretch>
                      <a:fillRect/>
                    </a:stretch>
                  </pic:blipFill>
                  <pic:spPr bwMode="auto">
                    <a:xfrm>
                      <a:off x="0" y="0"/>
                      <a:ext cx="5612130" cy="3152439"/>
                    </a:xfrm>
                    <a:prstGeom prst="rect">
                      <a:avLst/>
                    </a:prstGeom>
                    <a:noFill/>
                    <a:ln w="9525">
                      <a:noFill/>
                      <a:miter lim="800000"/>
                      <a:headEnd/>
                      <a:tailEnd/>
                    </a:ln>
                  </pic:spPr>
                </pic:pic>
              </a:graphicData>
            </a:graphic>
          </wp:inline>
        </w:drawing>
      </w:r>
    </w:p>
    <w:p w:rsidR="004657C8" w:rsidRDefault="004657C8">
      <w:r>
        <w:t xml:space="preserve">Orejón, y llama de </w:t>
      </w:r>
      <w:r w:rsidRPr="004657C8">
        <w:rPr>
          <w:i/>
        </w:rPr>
        <w:t>Spondyllus</w:t>
      </w:r>
      <w:r>
        <w:t>, fotografía anónima.</w:t>
      </w:r>
    </w:p>
    <w:p w:rsidR="005A6C27" w:rsidRDefault="005A6C27" w:rsidP="0078017A">
      <w:pPr>
        <w:pBdr>
          <w:top w:val="single" w:sz="4" w:space="1" w:color="auto"/>
          <w:left w:val="single" w:sz="4" w:space="4" w:color="auto"/>
          <w:bottom w:val="single" w:sz="4" w:space="1" w:color="auto"/>
          <w:right w:val="single" w:sz="4" w:space="4" w:color="auto"/>
        </w:pBdr>
        <w:spacing w:after="0" w:line="240" w:lineRule="atLeast"/>
        <w:outlineLvl w:val="0"/>
        <w:rPr>
          <w:rFonts w:ascii="Georgia" w:eastAsia="Times New Roman" w:hAnsi="Georgia" w:cs="Times New Roman"/>
          <w:color w:val="333333"/>
          <w:kern w:val="36"/>
          <w:sz w:val="60"/>
          <w:szCs w:val="60"/>
          <w:lang w:eastAsia="es-CL"/>
        </w:rPr>
      </w:pPr>
      <w:r>
        <w:rPr>
          <w:rFonts w:ascii="Georgia" w:eastAsia="Times New Roman" w:hAnsi="Georgia" w:cs="Times New Roman"/>
          <w:color w:val="333333"/>
          <w:kern w:val="36"/>
          <w:sz w:val="60"/>
          <w:szCs w:val="60"/>
          <w:lang w:eastAsia="es-CL"/>
        </w:rPr>
        <w:t>Diario La Tercera 16- sept de 2008:</w:t>
      </w:r>
    </w:p>
    <w:p w:rsidR="005A6C27" w:rsidRPr="005A6C27" w:rsidRDefault="005A6C27" w:rsidP="0078017A">
      <w:pPr>
        <w:pBdr>
          <w:top w:val="single" w:sz="4" w:space="1" w:color="auto"/>
          <w:left w:val="single" w:sz="4" w:space="4" w:color="auto"/>
          <w:bottom w:val="single" w:sz="4" w:space="1" w:color="auto"/>
          <w:right w:val="single" w:sz="4" w:space="4" w:color="auto"/>
        </w:pBdr>
        <w:spacing w:after="0" w:line="240" w:lineRule="atLeast"/>
        <w:outlineLvl w:val="0"/>
        <w:rPr>
          <w:rFonts w:ascii="Georgia" w:eastAsia="Times New Roman" w:hAnsi="Georgia" w:cs="Times New Roman"/>
          <w:color w:val="333333"/>
          <w:kern w:val="36"/>
          <w:sz w:val="60"/>
          <w:szCs w:val="60"/>
          <w:lang w:eastAsia="es-CL"/>
        </w:rPr>
      </w:pPr>
      <w:r>
        <w:rPr>
          <w:rFonts w:ascii="Georgia" w:eastAsia="Times New Roman" w:hAnsi="Georgia" w:cs="Times New Roman"/>
          <w:color w:val="333333"/>
          <w:kern w:val="36"/>
          <w:sz w:val="60"/>
          <w:szCs w:val="60"/>
          <w:lang w:eastAsia="es-CL"/>
        </w:rPr>
        <w:t xml:space="preserve"> </w:t>
      </w:r>
      <w:r w:rsidRPr="005A6C27">
        <w:rPr>
          <w:rFonts w:ascii="Georgia" w:eastAsia="Times New Roman" w:hAnsi="Georgia" w:cs="Times New Roman"/>
          <w:color w:val="333333"/>
          <w:kern w:val="36"/>
          <w:sz w:val="60"/>
          <w:szCs w:val="60"/>
          <w:lang w:eastAsia="es-CL"/>
        </w:rPr>
        <w:t>Recuperan más de 600 piezas arqueológicas en el norte del país</w:t>
      </w:r>
    </w:p>
    <w:p w:rsidR="005A6C27" w:rsidRPr="005A6C27" w:rsidRDefault="005A6C27" w:rsidP="0078017A">
      <w:pPr>
        <w:pBdr>
          <w:top w:val="single" w:sz="4" w:space="1" w:color="auto"/>
          <w:left w:val="single" w:sz="4" w:space="4" w:color="auto"/>
          <w:bottom w:val="single" w:sz="4" w:space="1" w:color="auto"/>
          <w:right w:val="single" w:sz="4" w:space="4" w:color="auto"/>
        </w:pBdr>
        <w:spacing w:after="0" w:line="360" w:lineRule="atLeast"/>
        <w:rPr>
          <w:rFonts w:ascii="Arial" w:eastAsia="Times New Roman" w:hAnsi="Arial" w:cs="Arial"/>
          <w:color w:val="333333"/>
          <w:sz w:val="18"/>
          <w:szCs w:val="18"/>
          <w:lang w:eastAsia="es-CL"/>
        </w:rPr>
      </w:pPr>
      <w:r w:rsidRPr="005A6C27">
        <w:rPr>
          <w:rFonts w:ascii="Arial" w:eastAsia="Times New Roman" w:hAnsi="Arial" w:cs="Arial"/>
          <w:color w:val="333333"/>
          <w:sz w:val="18"/>
          <w:szCs w:val="18"/>
          <w:lang w:eastAsia="es-CL"/>
        </w:rPr>
        <w:t>Entre los objetos decomisados se pueden encontrar puntas de flechas, arpones y cerámica de varias culturas del norte de Chile.</w:t>
      </w:r>
    </w:p>
    <w:p w:rsidR="005A6C27" w:rsidRDefault="005A6C27" w:rsidP="0078017A">
      <w:pPr>
        <w:pStyle w:val="NormalWeb"/>
        <w:pBdr>
          <w:top w:val="single" w:sz="4" w:space="1" w:color="auto"/>
          <w:left w:val="single" w:sz="4" w:space="4" w:color="auto"/>
          <w:bottom w:val="single" w:sz="4" w:space="1" w:color="auto"/>
          <w:right w:val="single" w:sz="4" w:space="4" w:color="auto"/>
        </w:pBdr>
        <w:spacing w:before="0" w:beforeAutospacing="0" w:after="0" w:afterAutospacing="0" w:line="360" w:lineRule="atLeast"/>
        <w:rPr>
          <w:rFonts w:ascii="Arial" w:hAnsi="Arial" w:cs="Arial"/>
          <w:color w:val="333333"/>
          <w:sz w:val="18"/>
          <w:szCs w:val="18"/>
        </w:rPr>
      </w:pPr>
      <w:r>
        <w:rPr>
          <w:rFonts w:ascii="Arial" w:hAnsi="Arial" w:cs="Arial"/>
          <w:color w:val="333333"/>
          <w:sz w:val="18"/>
          <w:szCs w:val="18"/>
        </w:rPr>
        <w:t>Más de</w:t>
      </w:r>
      <w:r>
        <w:rPr>
          <w:rStyle w:val="apple-converted-space"/>
          <w:rFonts w:ascii="Arial" w:hAnsi="Arial" w:cs="Arial"/>
          <w:color w:val="333333"/>
          <w:sz w:val="18"/>
          <w:szCs w:val="18"/>
        </w:rPr>
        <w:t> </w:t>
      </w:r>
      <w:r>
        <w:rPr>
          <w:rStyle w:val="Textoennegrita"/>
          <w:rFonts w:ascii="inherit" w:hAnsi="inherit" w:cs="Arial"/>
          <w:color w:val="333333"/>
          <w:sz w:val="18"/>
          <w:szCs w:val="18"/>
          <w:bdr w:val="none" w:sz="0" w:space="0" w:color="auto" w:frame="1"/>
        </w:rPr>
        <w:t>600 objetos arqueológicos</w:t>
      </w:r>
      <w:r>
        <w:rPr>
          <w:rStyle w:val="apple-converted-space"/>
          <w:rFonts w:ascii="Arial" w:hAnsi="Arial" w:cs="Arial"/>
          <w:color w:val="333333"/>
          <w:sz w:val="18"/>
          <w:szCs w:val="18"/>
        </w:rPr>
        <w:t> </w:t>
      </w:r>
      <w:r>
        <w:rPr>
          <w:rFonts w:ascii="Arial" w:hAnsi="Arial" w:cs="Arial"/>
          <w:color w:val="333333"/>
          <w:sz w:val="18"/>
          <w:szCs w:val="18"/>
        </w:rPr>
        <w:t>y paleontológicos de distintas culturas fueron recuperados por la</w:t>
      </w:r>
      <w:r>
        <w:rPr>
          <w:rStyle w:val="apple-converted-space"/>
          <w:rFonts w:ascii="Arial" w:hAnsi="Arial" w:cs="Arial"/>
          <w:color w:val="333333"/>
          <w:sz w:val="18"/>
          <w:szCs w:val="18"/>
        </w:rPr>
        <w:t> </w:t>
      </w:r>
      <w:r>
        <w:rPr>
          <w:rStyle w:val="Textoennegrita"/>
          <w:rFonts w:ascii="inherit" w:hAnsi="inherit" w:cs="Arial"/>
          <w:color w:val="333333"/>
          <w:sz w:val="18"/>
          <w:szCs w:val="18"/>
          <w:bdr w:val="none" w:sz="0" w:space="0" w:color="auto" w:frame="1"/>
        </w:rPr>
        <w:t>Oficina de Interpol de Santiago</w:t>
      </w:r>
      <w:r>
        <w:rPr>
          <w:rFonts w:ascii="Arial" w:hAnsi="Arial" w:cs="Arial"/>
          <w:color w:val="333333"/>
          <w:sz w:val="18"/>
          <w:szCs w:val="18"/>
        </w:rPr>
        <w:t>, en la región de Atacama.</w:t>
      </w:r>
    </w:p>
    <w:p w:rsidR="005A6C27" w:rsidRDefault="005A6C27" w:rsidP="0078017A">
      <w:pPr>
        <w:pStyle w:val="NormalWeb"/>
        <w:pBdr>
          <w:top w:val="single" w:sz="4" w:space="1" w:color="auto"/>
          <w:left w:val="single" w:sz="4" w:space="4" w:color="auto"/>
          <w:bottom w:val="single" w:sz="4" w:space="1" w:color="auto"/>
          <w:right w:val="single" w:sz="4" w:space="4" w:color="auto"/>
        </w:pBdr>
        <w:spacing w:before="0" w:beforeAutospacing="0" w:after="0" w:afterAutospacing="0" w:line="360" w:lineRule="atLeast"/>
        <w:rPr>
          <w:rFonts w:ascii="Arial" w:hAnsi="Arial" w:cs="Arial"/>
          <w:color w:val="333333"/>
          <w:sz w:val="18"/>
          <w:szCs w:val="18"/>
        </w:rPr>
      </w:pPr>
      <w:r>
        <w:rPr>
          <w:rFonts w:ascii="Arial" w:hAnsi="Arial" w:cs="Arial"/>
          <w:color w:val="333333"/>
          <w:sz w:val="18"/>
          <w:szCs w:val="18"/>
        </w:rPr>
        <w:t>De acuerdo al</w:t>
      </w:r>
      <w:r>
        <w:rPr>
          <w:rStyle w:val="apple-converted-space"/>
          <w:rFonts w:ascii="Arial" w:hAnsi="Arial" w:cs="Arial"/>
          <w:color w:val="333333"/>
          <w:sz w:val="18"/>
          <w:szCs w:val="18"/>
        </w:rPr>
        <w:t> </w:t>
      </w:r>
      <w:r>
        <w:rPr>
          <w:rStyle w:val="Textoennegrita"/>
          <w:rFonts w:ascii="inherit" w:hAnsi="inherit" w:cs="Arial"/>
          <w:color w:val="333333"/>
          <w:sz w:val="18"/>
          <w:szCs w:val="18"/>
          <w:bdr w:val="none" w:sz="0" w:space="0" w:color="auto" w:frame="1"/>
        </w:rPr>
        <w:t>Inspector Iván Contreras</w:t>
      </w:r>
      <w:r>
        <w:rPr>
          <w:rFonts w:ascii="Arial" w:hAnsi="Arial" w:cs="Arial"/>
          <w:color w:val="333333"/>
          <w:sz w:val="18"/>
          <w:szCs w:val="18"/>
        </w:rPr>
        <w:t>, encargado del Patrimonio cultural de la Interpol, en un comienzo se había recibido antecedentes de una</w:t>
      </w:r>
      <w:r>
        <w:rPr>
          <w:rStyle w:val="apple-converted-space"/>
          <w:rFonts w:ascii="inherit" w:hAnsi="inherit" w:cs="Arial"/>
          <w:b/>
          <w:bCs/>
          <w:color w:val="333333"/>
          <w:sz w:val="18"/>
          <w:szCs w:val="18"/>
          <w:bdr w:val="none" w:sz="0" w:space="0" w:color="auto" w:frame="1"/>
        </w:rPr>
        <w:t> </w:t>
      </w:r>
      <w:r>
        <w:rPr>
          <w:rStyle w:val="Textoennegrita"/>
          <w:rFonts w:ascii="inherit" w:hAnsi="inherit" w:cs="Arial"/>
          <w:color w:val="333333"/>
          <w:sz w:val="18"/>
          <w:szCs w:val="18"/>
          <w:bdr w:val="none" w:sz="0" w:space="0" w:color="auto" w:frame="1"/>
        </w:rPr>
        <w:t>estatuilla de oro precolombina</w:t>
      </w:r>
      <w:r>
        <w:rPr>
          <w:rFonts w:ascii="Arial" w:hAnsi="Arial" w:cs="Arial"/>
          <w:color w:val="333333"/>
          <w:sz w:val="18"/>
          <w:szCs w:val="18"/>
        </w:rPr>
        <w:t>, que había sido sacada ilegalmente de una capacocha inca en la isla de Guacolda, en Huasco.</w:t>
      </w:r>
    </w:p>
    <w:p w:rsidR="005A6C27" w:rsidRDefault="005A6C27" w:rsidP="0078017A">
      <w:pPr>
        <w:pStyle w:val="NormalWeb"/>
        <w:pBdr>
          <w:top w:val="single" w:sz="4" w:space="1" w:color="auto"/>
          <w:left w:val="single" w:sz="4" w:space="4" w:color="auto"/>
          <w:bottom w:val="single" w:sz="4" w:space="1" w:color="auto"/>
          <w:right w:val="single" w:sz="4" w:space="4" w:color="auto"/>
        </w:pBdr>
        <w:spacing w:before="0" w:beforeAutospacing="0" w:after="0" w:afterAutospacing="0" w:line="360" w:lineRule="atLeast"/>
        <w:rPr>
          <w:rFonts w:ascii="Arial" w:hAnsi="Arial" w:cs="Arial"/>
          <w:color w:val="333333"/>
          <w:sz w:val="18"/>
          <w:szCs w:val="18"/>
        </w:rPr>
      </w:pPr>
      <w:r>
        <w:rPr>
          <w:rFonts w:ascii="Arial" w:hAnsi="Arial" w:cs="Arial"/>
          <w:color w:val="333333"/>
          <w:sz w:val="18"/>
          <w:szCs w:val="18"/>
        </w:rPr>
        <w:t>Una vez que la</w:t>
      </w:r>
      <w:r>
        <w:rPr>
          <w:rStyle w:val="apple-converted-space"/>
          <w:rFonts w:ascii="Arial" w:hAnsi="Arial" w:cs="Arial"/>
          <w:color w:val="333333"/>
          <w:sz w:val="18"/>
          <w:szCs w:val="18"/>
        </w:rPr>
        <w:t> </w:t>
      </w:r>
      <w:r>
        <w:rPr>
          <w:rStyle w:val="Textoennegrita"/>
          <w:rFonts w:ascii="inherit" w:hAnsi="inherit" w:cs="Arial"/>
          <w:color w:val="333333"/>
          <w:sz w:val="18"/>
          <w:szCs w:val="18"/>
          <w:bdr w:val="none" w:sz="0" w:space="0" w:color="auto" w:frame="1"/>
        </w:rPr>
        <w:t>fiscalía de Freirina en la III región</w:t>
      </w:r>
      <w:r>
        <w:rPr>
          <w:rFonts w:ascii="Arial" w:hAnsi="Arial" w:cs="Arial"/>
          <w:color w:val="333333"/>
          <w:sz w:val="18"/>
          <w:szCs w:val="18"/>
        </w:rPr>
        <w:t>, dio orden de investigar por el delito de daño de sitio arequeológico, los funcionarios de la Interpol viajaron hasta allá y comenzaron la investigación, cuyos antecedentes los llevó a descubrir que habían otros objetos arqueológicos que también estaban ilegalmente en poder de coleccionistas privados.</w:t>
      </w:r>
    </w:p>
    <w:p w:rsidR="00A55E52" w:rsidRDefault="005A6C27" w:rsidP="0078017A">
      <w:pPr>
        <w:pStyle w:val="NormalWeb"/>
        <w:pBdr>
          <w:top w:val="single" w:sz="4" w:space="1" w:color="auto"/>
          <w:left w:val="single" w:sz="4" w:space="4" w:color="auto"/>
          <w:bottom w:val="single" w:sz="4" w:space="1" w:color="auto"/>
          <w:right w:val="single" w:sz="4" w:space="4" w:color="auto"/>
        </w:pBdr>
        <w:spacing w:before="0" w:beforeAutospacing="0" w:after="0" w:afterAutospacing="0" w:line="360" w:lineRule="atLeast"/>
        <w:rPr>
          <w:rFonts w:ascii="Arial" w:hAnsi="Arial" w:cs="Arial"/>
          <w:color w:val="333333"/>
          <w:sz w:val="18"/>
          <w:szCs w:val="18"/>
        </w:rPr>
      </w:pPr>
      <w:r>
        <w:rPr>
          <w:rFonts w:ascii="Arial" w:hAnsi="Arial" w:cs="Arial"/>
          <w:color w:val="333333"/>
          <w:sz w:val="18"/>
          <w:szCs w:val="18"/>
        </w:rPr>
        <w:t>Junto con la estatuilla de oro, avaluada en</w:t>
      </w:r>
      <w:r>
        <w:rPr>
          <w:rStyle w:val="apple-converted-space"/>
          <w:rFonts w:ascii="Arial" w:hAnsi="Arial" w:cs="Arial"/>
          <w:color w:val="333333"/>
          <w:sz w:val="18"/>
          <w:szCs w:val="18"/>
        </w:rPr>
        <w:t> </w:t>
      </w:r>
      <w:r>
        <w:rPr>
          <w:rStyle w:val="Textoennegrita"/>
          <w:rFonts w:ascii="inherit" w:hAnsi="inherit" w:cs="Arial"/>
          <w:color w:val="333333"/>
          <w:sz w:val="18"/>
          <w:szCs w:val="18"/>
          <w:bdr w:val="none" w:sz="0" w:space="0" w:color="auto" w:frame="1"/>
        </w:rPr>
        <w:t>20 millones de pesos</w:t>
      </w:r>
      <w:r>
        <w:rPr>
          <w:rFonts w:ascii="Arial" w:hAnsi="Arial" w:cs="Arial"/>
          <w:color w:val="333333"/>
          <w:sz w:val="18"/>
          <w:szCs w:val="18"/>
        </w:rPr>
        <w:t>, había otras 602 piezas...</w:t>
      </w:r>
    </w:p>
    <w:p w:rsidR="005A6C27" w:rsidRDefault="005A6C27" w:rsidP="0078017A">
      <w:pPr>
        <w:pStyle w:val="NormalWeb"/>
        <w:pBdr>
          <w:top w:val="single" w:sz="4" w:space="1" w:color="auto"/>
          <w:left w:val="single" w:sz="4" w:space="4" w:color="auto"/>
          <w:bottom w:val="single" w:sz="4" w:space="1" w:color="auto"/>
          <w:right w:val="single" w:sz="4" w:space="4" w:color="auto"/>
        </w:pBdr>
        <w:spacing w:before="0" w:beforeAutospacing="0" w:after="0" w:afterAutospacing="0" w:line="360" w:lineRule="atLeast"/>
        <w:rPr>
          <w:rFonts w:ascii="Arial" w:hAnsi="Arial" w:cs="Arial"/>
          <w:color w:val="333333"/>
          <w:sz w:val="18"/>
          <w:szCs w:val="18"/>
        </w:rPr>
      </w:pPr>
    </w:p>
    <w:p w:rsidR="005A6C27" w:rsidRDefault="005A6C27" w:rsidP="0078017A">
      <w:pPr>
        <w:pStyle w:val="Ttulo4"/>
        <w:pBdr>
          <w:top w:val="single" w:sz="4" w:space="1" w:color="auto"/>
          <w:left w:val="single" w:sz="4" w:space="4" w:color="auto"/>
          <w:bottom w:val="single" w:sz="4" w:space="1" w:color="auto"/>
          <w:right w:val="single" w:sz="4" w:space="4" w:color="auto"/>
        </w:pBdr>
        <w:shd w:val="clear" w:color="auto" w:fill="F1F1F1"/>
        <w:spacing w:before="0" w:after="75" w:line="348" w:lineRule="atLeast"/>
        <w:rPr>
          <w:b w:val="0"/>
          <w:bCs w:val="0"/>
          <w:color w:val="333333"/>
        </w:rPr>
      </w:pPr>
      <w:r>
        <w:rPr>
          <w:b w:val="0"/>
          <w:bCs w:val="0"/>
          <w:color w:val="333333"/>
        </w:rPr>
        <w:t>HACIA UNA REEVALUACIÓN DE LA OCUPACIÓN INCAICA DEL LITORAL DE LA COMUNA DE CALDERA (III REGIÓN DE ATACAMA, CHILE). MEMORIA PARA OPTAR AL TÍTULO DE ARQUEÓLOGO..</w:t>
      </w:r>
    </w:p>
    <w:p w:rsidR="005A6C27" w:rsidRDefault="005A6C27" w:rsidP="0078017A">
      <w:pPr>
        <w:pStyle w:val="NormalWeb"/>
        <w:pBdr>
          <w:top w:val="single" w:sz="4" w:space="1" w:color="auto"/>
          <w:left w:val="single" w:sz="4" w:space="4" w:color="auto"/>
          <w:bottom w:val="single" w:sz="4" w:space="1" w:color="auto"/>
          <w:right w:val="single" w:sz="4" w:space="4" w:color="auto"/>
        </w:pBdr>
        <w:spacing w:before="0" w:beforeAutospacing="0" w:after="0" w:afterAutospacing="0" w:line="360" w:lineRule="atLeast"/>
      </w:pPr>
      <w:r>
        <w:t>Ya en la década</w:t>
      </w:r>
      <w:r w:rsidR="004D6DE8">
        <w:t xml:space="preserve"> de los 80, Jorge Zambra</w:t>
      </w:r>
      <w:r>
        <w:t xml:space="preserve"> describe importantes piezas</w:t>
      </w:r>
      <w:r w:rsidR="004D6DE8">
        <w:t xml:space="preserve"> incaicas, halladas en la isla G</w:t>
      </w:r>
      <w:r>
        <w:t>uacolda, donde habrí</w:t>
      </w:r>
      <w:r w:rsidR="004D6DE8">
        <w:t>a</w:t>
      </w:r>
      <w:r>
        <w:t xml:space="preserve"> funcionado un adoratorio, lugar sagrado.... (</w:t>
      </w:r>
      <w:r w:rsidR="007033E1">
        <w:t xml:space="preserve">Borlando 2011, </w:t>
      </w:r>
      <w:r w:rsidR="004D6DE8">
        <w:t>página</w:t>
      </w:r>
      <w:r>
        <w:t xml:space="preserve"> 14)</w:t>
      </w:r>
    </w:p>
    <w:p w:rsidR="005A6C27" w:rsidRDefault="005A6C27" w:rsidP="0078017A">
      <w:pPr>
        <w:pStyle w:val="NormalWeb"/>
        <w:pBdr>
          <w:top w:val="single" w:sz="4" w:space="1" w:color="auto"/>
          <w:left w:val="single" w:sz="4" w:space="4" w:color="auto"/>
          <w:bottom w:val="single" w:sz="4" w:space="1" w:color="auto"/>
          <w:right w:val="single" w:sz="4" w:space="4" w:color="auto"/>
        </w:pBdr>
        <w:spacing w:before="0" w:beforeAutospacing="0" w:after="0" w:afterAutospacing="0" w:line="360" w:lineRule="atLeast"/>
      </w:pPr>
      <w:r>
        <w:t xml:space="preserve"> </w:t>
      </w:r>
      <w:r w:rsidR="007033E1">
        <w:t>Y otras publica</w:t>
      </w:r>
      <w:r w:rsidR="004D6DE8">
        <w:t>c</w:t>
      </w:r>
      <w:r w:rsidR="007033E1">
        <w:t xml:space="preserve">iones como Latorre y López 2011 Intersecciones en Antropología y Moyano 2009 en Estudios Atacameños ambos se encuentran online en www.scielo.cl </w:t>
      </w:r>
    </w:p>
    <w:p w:rsidR="007033E1" w:rsidRDefault="007033E1"/>
    <w:p w:rsidR="007033E1" w:rsidRDefault="007033E1">
      <w:r>
        <w:t>Pruebas:  Ordinario 394 de 12-09-1995</w:t>
      </w:r>
      <w:r w:rsidR="00481785">
        <w:t xml:space="preserve"> y del 20-06-1995</w:t>
      </w:r>
      <w:r>
        <w:t xml:space="preserve"> de CMN,</w:t>
      </w:r>
      <w:r w:rsidR="00481785">
        <w:t xml:space="preserve"> Ordinario N° 034 del Museo regional de Atacama</w:t>
      </w:r>
      <w:r>
        <w:t xml:space="preserve"> </w:t>
      </w:r>
      <w:r w:rsidR="00481785">
        <w:t xml:space="preserve">  19 -02- 1996, Carta de Chil</w:t>
      </w:r>
      <w:r w:rsidR="004D6DE8">
        <w:t>l</w:t>
      </w:r>
      <w:r w:rsidR="00481785">
        <w:t xml:space="preserve">gener </w:t>
      </w:r>
      <w:r w:rsidR="00C20C1D">
        <w:t xml:space="preserve"> </w:t>
      </w:r>
      <w:r w:rsidR="004D6DE8">
        <w:t xml:space="preserve">Guacolda del  </w:t>
      </w:r>
      <w:r w:rsidR="00481785">
        <w:t>06-10-1995</w:t>
      </w:r>
      <w:r w:rsidR="004D6DE8">
        <w:t xml:space="preserve">, </w:t>
      </w:r>
      <w:r w:rsidR="00C20C1D">
        <w:t xml:space="preserve"> RCA Corema de 1995.</w:t>
      </w:r>
    </w:p>
    <w:p w:rsidR="00A55E52" w:rsidRDefault="00A55E52">
      <w:r>
        <w:t>LEYES TRANSGREDIDAS</w:t>
      </w:r>
    </w:p>
    <w:p w:rsidR="00A55E52" w:rsidRDefault="00A55E52">
      <w:r>
        <w:t>Para nosotros como comunidad Indígena, los cementerios son lugares donde habitan nuestros antepasados y Guacolda no ha tenido ni un respeto por ello. Nunca nos ha consultado sobre alguna actividad en nuestros cementerios o sitios ceremoniales como establece la ley.</w:t>
      </w:r>
    </w:p>
    <w:p w:rsidR="0064499A" w:rsidRDefault="0064499A" w:rsidP="0064499A">
      <w:r>
        <w:t xml:space="preserve">Ley </w:t>
      </w:r>
      <w:r w:rsidR="00362ED4">
        <w:t xml:space="preserve">DE MONUMENTOS NACIONALES </w:t>
      </w:r>
      <w:r>
        <w:t>17. 288 de 1970</w:t>
      </w:r>
    </w:p>
    <w:p w:rsidR="00A55E52" w:rsidRPr="00352706" w:rsidRDefault="00A55E52" w:rsidP="0064499A">
      <w:pPr>
        <w:rPr>
          <w:rFonts w:cs="OfficinaSansStd-Book"/>
        </w:rPr>
      </w:pPr>
      <w:r w:rsidRPr="00352706">
        <w:rPr>
          <w:rFonts w:cs="OfficinaSanITC-BoldItalOS"/>
          <w:b/>
          <w:bCs/>
          <w:i/>
          <w:iCs/>
        </w:rPr>
        <w:t xml:space="preserve">Artículo 21º </w:t>
      </w:r>
      <w:r w:rsidRPr="00352706">
        <w:rPr>
          <w:rFonts w:cs="OfficinaSansStd-Book"/>
        </w:rPr>
        <w:t>Por el solo ministerio de la ley, son Monumentos</w:t>
      </w:r>
      <w:r w:rsidR="0064499A" w:rsidRPr="00352706">
        <w:t xml:space="preserve"> </w:t>
      </w:r>
      <w:r w:rsidRPr="00352706">
        <w:rPr>
          <w:rFonts w:cs="OfficinaSansStd-Book"/>
        </w:rPr>
        <w:t>Arqueológicos de propiedad del Estado los lugares, ruinas,</w:t>
      </w:r>
      <w:r w:rsidR="00352706" w:rsidRPr="00352706">
        <w:rPr>
          <w:rFonts w:cs="OfficinaSansStd-Book"/>
        </w:rPr>
        <w:t xml:space="preserve"> </w:t>
      </w:r>
      <w:r w:rsidRPr="00352706">
        <w:rPr>
          <w:rFonts w:cs="OfficinaSansStd-Book"/>
        </w:rPr>
        <w:t>yacimientos y piezas antropo-arqueológicas que existan</w:t>
      </w:r>
      <w:r w:rsidR="00C20C1D">
        <w:rPr>
          <w:rFonts w:cs="OfficinaSansStd-Book"/>
        </w:rPr>
        <w:t xml:space="preserve"> </w:t>
      </w:r>
      <w:r w:rsidRPr="00352706">
        <w:rPr>
          <w:rFonts w:cs="OfficinaSansStd-Book"/>
        </w:rPr>
        <w:t>sobre o bajo la superficie del territorio nacional.</w:t>
      </w:r>
      <w:r w:rsidR="00352706" w:rsidRPr="00352706">
        <w:rPr>
          <w:rFonts w:cs="OfficinaSansStd-Book"/>
        </w:rPr>
        <w:t xml:space="preserve"> </w:t>
      </w:r>
      <w:r w:rsidRPr="00352706">
        <w:rPr>
          <w:rFonts w:cs="OfficinaSansStd-Book"/>
        </w:rPr>
        <w:t>Para los efectos de la presente ley quedan comprendidas</w:t>
      </w:r>
      <w:r w:rsidR="0064499A" w:rsidRPr="00352706">
        <w:rPr>
          <w:rFonts w:cs="OfficinaSansStd-Book"/>
        </w:rPr>
        <w:t xml:space="preserve"> </w:t>
      </w:r>
      <w:r w:rsidRPr="00352706">
        <w:rPr>
          <w:rFonts w:cs="OfficinaSansStd-Book"/>
        </w:rPr>
        <w:t>también las piezas paleontológicas y los lugares donde se</w:t>
      </w:r>
      <w:r w:rsidR="0064499A" w:rsidRPr="00352706">
        <w:rPr>
          <w:rFonts w:cs="OfficinaSansStd-Book"/>
        </w:rPr>
        <w:t xml:space="preserve"> </w:t>
      </w:r>
      <w:r w:rsidRPr="00352706">
        <w:rPr>
          <w:rFonts w:cs="OfficinaSansStd-Book"/>
        </w:rPr>
        <w:t>hallaren.</w:t>
      </w:r>
    </w:p>
    <w:p w:rsidR="00A55E52" w:rsidRPr="00352706" w:rsidRDefault="00A55E52" w:rsidP="00A55E52">
      <w:pPr>
        <w:autoSpaceDE w:val="0"/>
        <w:autoSpaceDN w:val="0"/>
        <w:adjustRightInd w:val="0"/>
        <w:spacing w:after="0" w:line="240" w:lineRule="auto"/>
        <w:rPr>
          <w:rFonts w:cs="OfficinaSansStd-Book"/>
        </w:rPr>
      </w:pPr>
      <w:r w:rsidRPr="00352706">
        <w:rPr>
          <w:rFonts w:cs="OfficinaSanITC-BoldItalOS"/>
          <w:b/>
          <w:bCs/>
          <w:i/>
          <w:iCs/>
        </w:rPr>
        <w:t xml:space="preserve">Artículo 26º </w:t>
      </w:r>
      <w:r w:rsidRPr="00352706">
        <w:rPr>
          <w:rFonts w:cs="OfficinaSansStd-Book"/>
        </w:rPr>
        <w:t>Toda persona natural o jurídica que al hacer excavaciones</w:t>
      </w:r>
      <w:r w:rsidR="0064499A" w:rsidRPr="00352706">
        <w:rPr>
          <w:rFonts w:cs="OfficinaSansStd-Book"/>
        </w:rPr>
        <w:t xml:space="preserve"> </w:t>
      </w:r>
      <w:r w:rsidRPr="00352706">
        <w:rPr>
          <w:rFonts w:cs="OfficinaSansStd-Book"/>
        </w:rPr>
        <w:t>en cualquier punto del territorio nacional y con cualquier</w:t>
      </w:r>
      <w:r w:rsidR="0064499A" w:rsidRPr="00352706">
        <w:rPr>
          <w:rFonts w:cs="OfficinaSansStd-Book"/>
        </w:rPr>
        <w:t xml:space="preserve"> </w:t>
      </w:r>
      <w:r w:rsidRPr="00352706">
        <w:rPr>
          <w:rFonts w:cs="OfficinaSansStd-Book"/>
        </w:rPr>
        <w:t>finalidad, encontrare ruinas, yacimientos, piezas u objetos</w:t>
      </w:r>
      <w:r w:rsidR="0064499A" w:rsidRPr="00352706">
        <w:rPr>
          <w:rFonts w:cs="OfficinaSansStd-Book"/>
        </w:rPr>
        <w:t xml:space="preserve"> </w:t>
      </w:r>
      <w:r w:rsidRPr="00352706">
        <w:rPr>
          <w:rFonts w:cs="OfficinaSansStd-Book"/>
        </w:rPr>
        <w:t>de carácter histórico, antropológico, arqueológico o</w:t>
      </w:r>
      <w:r w:rsidR="0064499A" w:rsidRPr="00352706">
        <w:rPr>
          <w:rFonts w:cs="OfficinaSansStd-Book"/>
        </w:rPr>
        <w:t xml:space="preserve"> </w:t>
      </w:r>
      <w:r w:rsidRPr="00352706">
        <w:rPr>
          <w:rFonts w:cs="OfficinaSansStd-Book"/>
        </w:rPr>
        <w:t>paleontológico, está obligada a denunciar inmediatamente el</w:t>
      </w:r>
      <w:r w:rsidR="0064499A" w:rsidRPr="00352706">
        <w:rPr>
          <w:rFonts w:cs="OfficinaSansStd-Book"/>
        </w:rPr>
        <w:t xml:space="preserve"> </w:t>
      </w:r>
      <w:r w:rsidRPr="00352706">
        <w:rPr>
          <w:rFonts w:cs="OfficinaSansStd-Book"/>
        </w:rPr>
        <w:t>descubri</w:t>
      </w:r>
      <w:r w:rsidR="0037274A">
        <w:rPr>
          <w:rFonts w:cs="OfficinaSansStd-Book"/>
        </w:rPr>
        <w:t>miento al Gobernador Provincial</w:t>
      </w:r>
      <w:r w:rsidRPr="00352706">
        <w:rPr>
          <w:rFonts w:cs="OfficinaSansStd-Book"/>
        </w:rPr>
        <w:t>, quien ordenará a</w:t>
      </w:r>
      <w:r w:rsidR="0064499A" w:rsidRPr="00352706">
        <w:rPr>
          <w:rFonts w:cs="OfficinaSansStd-Book"/>
        </w:rPr>
        <w:t xml:space="preserve"> </w:t>
      </w:r>
      <w:r w:rsidRPr="00352706">
        <w:rPr>
          <w:rFonts w:cs="OfficinaSansStd-Book"/>
        </w:rPr>
        <w:t>Carabineros que se haga responsable de su vigilancia hasta que</w:t>
      </w:r>
      <w:r w:rsidR="0064499A" w:rsidRPr="00352706">
        <w:rPr>
          <w:rFonts w:cs="OfficinaSansStd-Book"/>
        </w:rPr>
        <w:t xml:space="preserve"> </w:t>
      </w:r>
      <w:r w:rsidRPr="00352706">
        <w:rPr>
          <w:rFonts w:cs="OfficinaSansStd-Book"/>
        </w:rPr>
        <w:t>el Consejo se haga cargo de él.</w:t>
      </w:r>
      <w:r w:rsidR="0064499A" w:rsidRPr="00352706">
        <w:rPr>
          <w:rFonts w:cs="OfficinaSansStd-Book"/>
        </w:rPr>
        <w:t xml:space="preserve"> </w:t>
      </w:r>
      <w:r w:rsidRPr="00352706">
        <w:rPr>
          <w:rFonts w:cs="OfficinaSansStd-Book"/>
        </w:rPr>
        <w:t>La infracción a lo dispuesto en este artículo será sancionada</w:t>
      </w:r>
      <w:r w:rsidR="0064499A" w:rsidRPr="00352706">
        <w:rPr>
          <w:rFonts w:cs="OfficinaSansStd-Book"/>
        </w:rPr>
        <w:t xml:space="preserve"> </w:t>
      </w:r>
      <w:r w:rsidRPr="00352706">
        <w:rPr>
          <w:rFonts w:cs="OfficinaSansStd-Book"/>
        </w:rPr>
        <w:t>con una multa de cinco a doscientas unidades tributarias</w:t>
      </w:r>
      <w:r w:rsidR="0064499A" w:rsidRPr="00352706">
        <w:rPr>
          <w:rFonts w:cs="OfficinaSansStd-Book"/>
        </w:rPr>
        <w:t xml:space="preserve"> </w:t>
      </w:r>
      <w:r w:rsidRPr="00352706">
        <w:rPr>
          <w:rFonts w:cs="OfficinaSansStd-Book"/>
        </w:rPr>
        <w:t>mensuales, sin perjuicio de la responsabilidad civil</w:t>
      </w:r>
      <w:r w:rsidR="0064499A" w:rsidRPr="00352706">
        <w:rPr>
          <w:rFonts w:cs="OfficinaSansStd-Book"/>
        </w:rPr>
        <w:t xml:space="preserve"> </w:t>
      </w:r>
      <w:r w:rsidRPr="00352706">
        <w:rPr>
          <w:rFonts w:cs="OfficinaSansStd-Book"/>
        </w:rPr>
        <w:t>solidaria de los empresarios o contratistas a cargo de las</w:t>
      </w:r>
      <w:r w:rsidR="0064499A" w:rsidRPr="00352706">
        <w:rPr>
          <w:rFonts w:cs="OfficinaSansStd-Book"/>
        </w:rPr>
        <w:t xml:space="preserve"> obras, por los daños </w:t>
      </w:r>
      <w:r w:rsidRPr="00352706">
        <w:rPr>
          <w:rFonts w:cs="OfficinaSansStd-Book"/>
        </w:rPr>
        <w:t>derivados del incumplimiento de la</w:t>
      </w:r>
      <w:r w:rsidR="0064499A" w:rsidRPr="00352706">
        <w:rPr>
          <w:rFonts w:cs="OfficinaSansStd-Book"/>
        </w:rPr>
        <w:t xml:space="preserve"> </w:t>
      </w:r>
      <w:r w:rsidRPr="00352706">
        <w:rPr>
          <w:rFonts w:cs="OfficinaSansStd-Book"/>
        </w:rPr>
        <w:t>obligación de denunciar el hallazgo.</w:t>
      </w:r>
    </w:p>
    <w:p w:rsidR="0064499A" w:rsidRPr="00352706" w:rsidRDefault="0064499A" w:rsidP="00A55E52">
      <w:pPr>
        <w:autoSpaceDE w:val="0"/>
        <w:autoSpaceDN w:val="0"/>
        <w:adjustRightInd w:val="0"/>
        <w:spacing w:after="0" w:line="240" w:lineRule="auto"/>
        <w:rPr>
          <w:rFonts w:cs="OfficinaSanITC-BoldItalOS"/>
          <w:b/>
          <w:bCs/>
          <w:i/>
          <w:iCs/>
        </w:rPr>
      </w:pPr>
    </w:p>
    <w:p w:rsidR="00A55E52" w:rsidRPr="00352706" w:rsidRDefault="00A55E52" w:rsidP="00A55E52">
      <w:pPr>
        <w:autoSpaceDE w:val="0"/>
        <w:autoSpaceDN w:val="0"/>
        <w:adjustRightInd w:val="0"/>
        <w:spacing w:after="0" w:line="240" w:lineRule="auto"/>
        <w:rPr>
          <w:rFonts w:cs="OfficinaSansStd-Book"/>
        </w:rPr>
      </w:pPr>
      <w:r w:rsidRPr="00352706">
        <w:rPr>
          <w:rFonts w:cs="OfficinaSanITC-BoldItalOS"/>
          <w:b/>
          <w:bCs/>
          <w:i/>
          <w:iCs/>
        </w:rPr>
        <w:t xml:space="preserve">Artículo 38º </w:t>
      </w:r>
      <w:r w:rsidRPr="00352706">
        <w:rPr>
          <w:rFonts w:cs="OfficinaSansStd-Book"/>
        </w:rPr>
        <w:t>El que causare daño en un monumento nacional, o afectare</w:t>
      </w:r>
      <w:r w:rsidR="0064499A" w:rsidRPr="00352706">
        <w:rPr>
          <w:rFonts w:cs="OfficinaSansStd-Book"/>
        </w:rPr>
        <w:t xml:space="preserve"> </w:t>
      </w:r>
      <w:r w:rsidRPr="00352706">
        <w:rPr>
          <w:rFonts w:cs="OfficinaSansStd-Book"/>
        </w:rPr>
        <w:t>de cualquier modo su integridad, será sancionado con pena</w:t>
      </w:r>
      <w:r w:rsidR="0064499A" w:rsidRPr="00352706">
        <w:rPr>
          <w:rFonts w:cs="OfficinaSansStd-Book"/>
        </w:rPr>
        <w:t xml:space="preserve"> </w:t>
      </w:r>
      <w:r w:rsidRPr="00352706">
        <w:rPr>
          <w:rFonts w:cs="OfficinaSansStd-Book"/>
        </w:rPr>
        <w:t>de presidio menor en sus grados medio a máximo y multa de</w:t>
      </w:r>
      <w:r w:rsidR="0064499A" w:rsidRPr="00352706">
        <w:rPr>
          <w:rFonts w:cs="OfficinaSansStd-Book"/>
        </w:rPr>
        <w:t xml:space="preserve"> </w:t>
      </w:r>
      <w:r w:rsidRPr="00352706">
        <w:rPr>
          <w:rFonts w:cs="OfficinaSansStd-Book"/>
        </w:rPr>
        <w:t>cincuenta a doscientas unidades tributarias mensuales</w:t>
      </w:r>
      <w:r w:rsidR="0064499A" w:rsidRPr="00352706">
        <w:rPr>
          <w:rFonts w:cs="OfficinaSansStd-Book"/>
        </w:rPr>
        <w:t>.</w:t>
      </w:r>
    </w:p>
    <w:p w:rsidR="00A55E52" w:rsidRPr="00352706" w:rsidRDefault="00DF701E" w:rsidP="0064499A">
      <w:pPr>
        <w:autoSpaceDE w:val="0"/>
        <w:autoSpaceDN w:val="0"/>
        <w:adjustRightInd w:val="0"/>
        <w:spacing w:after="0" w:line="240" w:lineRule="auto"/>
        <w:rPr>
          <w:rFonts w:cs="OfficinaSansStd-Book"/>
        </w:rPr>
      </w:pPr>
      <w:r w:rsidRPr="00352706">
        <w:rPr>
          <w:rFonts w:cs="OfficinaSanITC-BoldItalOS"/>
          <w:b/>
          <w:bCs/>
          <w:i/>
          <w:iCs/>
        </w:rPr>
        <w:t xml:space="preserve">Artículo 40º </w:t>
      </w:r>
      <w:r w:rsidRPr="00352706">
        <w:rPr>
          <w:rFonts w:cs="OfficinaSansStd-Book"/>
        </w:rPr>
        <w:t>Las obras o trabajos que se inicien en contravención a la</w:t>
      </w:r>
      <w:r w:rsidR="0064499A" w:rsidRPr="00352706">
        <w:rPr>
          <w:rFonts w:cs="OfficinaSansStd-Book"/>
        </w:rPr>
        <w:t xml:space="preserve"> </w:t>
      </w:r>
      <w:r w:rsidRPr="00352706">
        <w:rPr>
          <w:rFonts w:cs="OfficinaSansStd-Book"/>
        </w:rPr>
        <w:t>presente ley, se denunciarán como obra nueva, sin perjuicio</w:t>
      </w:r>
      <w:r w:rsidR="0064499A" w:rsidRPr="00352706">
        <w:rPr>
          <w:rFonts w:cs="OfficinaSansStd-Book"/>
        </w:rPr>
        <w:t xml:space="preserve"> </w:t>
      </w:r>
      <w:r w:rsidRPr="00352706">
        <w:rPr>
          <w:rFonts w:cs="OfficinaSansStd-Book"/>
        </w:rPr>
        <w:t>de la sanción que esta ley contempla.</w:t>
      </w:r>
    </w:p>
    <w:p w:rsidR="00DF701E" w:rsidRPr="00352706" w:rsidRDefault="00DF701E" w:rsidP="0064499A">
      <w:pPr>
        <w:autoSpaceDE w:val="0"/>
        <w:autoSpaceDN w:val="0"/>
        <w:adjustRightInd w:val="0"/>
        <w:spacing w:after="0" w:line="240" w:lineRule="auto"/>
        <w:rPr>
          <w:rFonts w:cs="OfficinaSansStd-Book"/>
        </w:rPr>
      </w:pPr>
      <w:r w:rsidRPr="00352706">
        <w:rPr>
          <w:rFonts w:cs="OfficinaSanITC-BoldItalOS"/>
          <w:b/>
          <w:bCs/>
          <w:i/>
          <w:iCs/>
        </w:rPr>
        <w:t xml:space="preserve">Artículo 42º </w:t>
      </w:r>
      <w:r w:rsidRPr="00352706">
        <w:rPr>
          <w:rFonts w:cs="OfficinaSansStd-Book"/>
        </w:rPr>
        <w:t>Se concede acción popular para denunciar toda infracción a la</w:t>
      </w:r>
      <w:r w:rsidR="0064499A" w:rsidRPr="00352706">
        <w:rPr>
          <w:rFonts w:cs="OfficinaSansStd-Book"/>
        </w:rPr>
        <w:t xml:space="preserve"> </w:t>
      </w:r>
      <w:r w:rsidRPr="00352706">
        <w:rPr>
          <w:rFonts w:cs="OfficinaSansStd-Book"/>
        </w:rPr>
        <w:t>presente ley. El denunciante recibirá, como premio, el 20 por</w:t>
      </w:r>
      <w:r w:rsidR="0064499A" w:rsidRPr="00352706">
        <w:rPr>
          <w:rFonts w:cs="OfficinaSansStd-Book"/>
        </w:rPr>
        <w:t xml:space="preserve"> </w:t>
      </w:r>
      <w:r w:rsidRPr="00352706">
        <w:rPr>
          <w:rFonts w:cs="OfficinaSansStd-Book"/>
        </w:rPr>
        <w:t xml:space="preserve">ciento del producto de la multa que se </w:t>
      </w:r>
      <w:r w:rsidR="0064499A" w:rsidRPr="00352706">
        <w:rPr>
          <w:rFonts w:cs="OfficinaSansStd-Book"/>
        </w:rPr>
        <w:t>a</w:t>
      </w:r>
      <w:r w:rsidRPr="00352706">
        <w:rPr>
          <w:rFonts w:cs="OfficinaSansStd-Book"/>
        </w:rPr>
        <w:t>plique.</w:t>
      </w:r>
    </w:p>
    <w:p w:rsidR="0064499A" w:rsidRPr="00352706" w:rsidRDefault="0064499A"/>
    <w:p w:rsidR="00A55E52" w:rsidRPr="00352706" w:rsidRDefault="00A55E52">
      <w:r w:rsidRPr="00352706">
        <w:t xml:space="preserve">Ley </w:t>
      </w:r>
      <w:r w:rsidR="00362ED4">
        <w:t xml:space="preserve">INDÍGENA </w:t>
      </w:r>
      <w:r w:rsidRPr="00352706">
        <w:t>19.253</w:t>
      </w:r>
      <w:r w:rsidR="0064499A" w:rsidRPr="00352706">
        <w:t xml:space="preserve"> de 1993</w:t>
      </w:r>
    </w:p>
    <w:p w:rsidR="00DF701E" w:rsidRPr="00352706" w:rsidRDefault="00DF701E" w:rsidP="00DF701E">
      <w:pPr>
        <w:autoSpaceDE w:val="0"/>
        <w:autoSpaceDN w:val="0"/>
        <w:adjustRightInd w:val="0"/>
        <w:spacing w:after="0" w:line="240" w:lineRule="auto"/>
        <w:rPr>
          <w:rFonts w:cs="OfficinaSansStd-Book"/>
        </w:rPr>
      </w:pPr>
      <w:r w:rsidRPr="00352706">
        <w:rPr>
          <w:rFonts w:cs="OfficinaSanITC-BoldItalOS"/>
          <w:b/>
          <w:bCs/>
          <w:i/>
          <w:iCs/>
        </w:rPr>
        <w:t>Artículo 28</w:t>
      </w:r>
      <w:r w:rsidR="0037274A">
        <w:rPr>
          <w:rFonts w:cs="OfficinaSanITC-BoldItalOS"/>
          <w:b/>
          <w:bCs/>
          <w:i/>
          <w:iCs/>
        </w:rPr>
        <w:t xml:space="preserve">: </w:t>
      </w:r>
      <w:r w:rsidRPr="00352706">
        <w:rPr>
          <w:rFonts w:cs="OfficinaSanITC-BoldItalOS"/>
          <w:b/>
          <w:bCs/>
          <w:i/>
          <w:iCs/>
        </w:rPr>
        <w:t xml:space="preserve"> </w:t>
      </w:r>
      <w:r w:rsidRPr="00352706">
        <w:rPr>
          <w:rFonts w:cs="OfficinaSansStd-Book"/>
        </w:rPr>
        <w:t>El reconocimiento, respeto y protección de las culturas e</w:t>
      </w:r>
      <w:r w:rsidR="0064499A" w:rsidRPr="00352706">
        <w:rPr>
          <w:rFonts w:cs="OfficinaSansStd-Book"/>
        </w:rPr>
        <w:t xml:space="preserve"> </w:t>
      </w:r>
      <w:r w:rsidRPr="00352706">
        <w:rPr>
          <w:rFonts w:cs="OfficinaSansStd-Book"/>
        </w:rPr>
        <w:t>idiomas indígenas contemplará:</w:t>
      </w:r>
    </w:p>
    <w:p w:rsidR="00DF701E" w:rsidRPr="00352706" w:rsidRDefault="00DF701E" w:rsidP="00DF701E">
      <w:pPr>
        <w:autoSpaceDE w:val="0"/>
        <w:autoSpaceDN w:val="0"/>
        <w:adjustRightInd w:val="0"/>
        <w:spacing w:after="0" w:line="240" w:lineRule="auto"/>
        <w:rPr>
          <w:rFonts w:cs="OfficinaSansStd-Book"/>
        </w:rPr>
      </w:pPr>
      <w:r w:rsidRPr="00352706">
        <w:rPr>
          <w:rFonts w:cs="OfficinaSansStd-Book"/>
        </w:rPr>
        <w:t>f) La promoción de las expresiones artísticas y culturales y</w:t>
      </w:r>
      <w:r w:rsidR="0064499A" w:rsidRPr="00352706">
        <w:rPr>
          <w:rFonts w:cs="OfficinaSansStd-Book"/>
        </w:rPr>
        <w:t xml:space="preserve"> </w:t>
      </w:r>
      <w:r w:rsidRPr="00352706">
        <w:rPr>
          <w:rFonts w:cs="OfficinaSansStd-Book"/>
        </w:rPr>
        <w:t>la protección del patrimonio arquitectónico, arqueológico,</w:t>
      </w:r>
      <w:r w:rsidR="0064499A" w:rsidRPr="00352706">
        <w:rPr>
          <w:rFonts w:cs="OfficinaSansStd-Book"/>
        </w:rPr>
        <w:t xml:space="preserve"> </w:t>
      </w:r>
      <w:r w:rsidRPr="00352706">
        <w:rPr>
          <w:rFonts w:cs="OfficinaSansStd-Book"/>
        </w:rPr>
        <w:t>cultural e histórico indígena.</w:t>
      </w:r>
    </w:p>
    <w:p w:rsidR="0037274A" w:rsidRDefault="0037274A" w:rsidP="00DF701E"/>
    <w:p w:rsidR="00352706" w:rsidRPr="00352706" w:rsidRDefault="0064499A" w:rsidP="00DF701E">
      <w:r w:rsidRPr="0037274A">
        <w:rPr>
          <w:b/>
        </w:rPr>
        <w:t>Artículo 29</w:t>
      </w:r>
      <w:r w:rsidRPr="00352706">
        <w:t xml:space="preserve">: </w:t>
      </w:r>
      <w:r w:rsidR="00352706" w:rsidRPr="00352706">
        <w:t xml:space="preserve">Con el objeto de proteger el patrimonio </w:t>
      </w:r>
      <w:r w:rsidR="0037274A" w:rsidRPr="00352706">
        <w:t>histórico</w:t>
      </w:r>
      <w:r w:rsidR="00352706" w:rsidRPr="00352706">
        <w:t xml:space="preserve"> de las culturas indígenas y los bienes culturales del país, se requerirá informe previo de la Corporación para: </w:t>
      </w:r>
    </w:p>
    <w:p w:rsidR="0064499A" w:rsidRPr="00352706" w:rsidRDefault="0064499A" w:rsidP="00DF701E">
      <w:r w:rsidRPr="00352706">
        <w:t>c) La excavación de cementerios históricos indígenas con fines científicos la que se ceñirá al procedimiento establecido en la ley N° 17.288 y su reglamento, previo consentimiento de la comunidad involucrada.</w:t>
      </w:r>
    </w:p>
    <w:p w:rsidR="00352706" w:rsidRDefault="0037274A" w:rsidP="00DF701E">
      <w:r>
        <w:t>Nosotros solicita</w:t>
      </w:r>
      <w:r w:rsidR="00352706">
        <w:t>mos se inve</w:t>
      </w:r>
      <w:r w:rsidR="00362ED4">
        <w:t>stiguen estos hechos a Guacolda, ya que las leyes mencionadas ya eran aplicables al momento de su construcción y mas hoy en día, por lo que van mas de 20 años de infracciones.</w:t>
      </w:r>
      <w:r w:rsidR="00C20C1D">
        <w:t xml:space="preserve">  </w:t>
      </w:r>
    </w:p>
    <w:p w:rsidR="00C20C1D" w:rsidRPr="00352706" w:rsidRDefault="00C20C1D" w:rsidP="00DF701E">
      <w:r>
        <w:t>Pedimos justicia por los dos cementerios y sitios sagrados  de nuestros antepasados Diaguitas e incas que se han violado por esta empresa de forma recurrente.</w:t>
      </w:r>
    </w:p>
    <w:sectPr w:rsidR="00C20C1D" w:rsidRPr="00352706" w:rsidSect="00636F14">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 w:name="OfficinaSanITC-BoldItalOS">
    <w:panose1 w:val="00000000000000000000"/>
    <w:charset w:val="00"/>
    <w:family w:val="roman"/>
    <w:notTrueType/>
    <w:pitch w:val="default"/>
    <w:sig w:usb0="00000003" w:usb1="00000000" w:usb2="00000000" w:usb3="00000000" w:csb0="00000001" w:csb1="00000000"/>
  </w:font>
  <w:font w:name="OfficinaSansStd-Book">
    <w:panose1 w:val="00000000000000000000"/>
    <w:charset w:val="00"/>
    <w:family w:val="swiss"/>
    <w:notTrueType/>
    <w:pitch w:val="default"/>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7615"/>
    <w:rsid w:val="00035765"/>
    <w:rsid w:val="00045C03"/>
    <w:rsid w:val="001A3A68"/>
    <w:rsid w:val="001E005B"/>
    <w:rsid w:val="00283152"/>
    <w:rsid w:val="00352706"/>
    <w:rsid w:val="00362ED4"/>
    <w:rsid w:val="0037274A"/>
    <w:rsid w:val="003D7F1F"/>
    <w:rsid w:val="00430255"/>
    <w:rsid w:val="0044169C"/>
    <w:rsid w:val="004657C8"/>
    <w:rsid w:val="00481785"/>
    <w:rsid w:val="004D6DE8"/>
    <w:rsid w:val="005A6C27"/>
    <w:rsid w:val="005C0573"/>
    <w:rsid w:val="00636F14"/>
    <w:rsid w:val="0064499A"/>
    <w:rsid w:val="007033E1"/>
    <w:rsid w:val="0078017A"/>
    <w:rsid w:val="0090312D"/>
    <w:rsid w:val="00A55E52"/>
    <w:rsid w:val="00A9490F"/>
    <w:rsid w:val="00BC7531"/>
    <w:rsid w:val="00BC7615"/>
    <w:rsid w:val="00C20C1D"/>
    <w:rsid w:val="00C864F6"/>
    <w:rsid w:val="00D10CA7"/>
    <w:rsid w:val="00D85615"/>
    <w:rsid w:val="00D9116A"/>
    <w:rsid w:val="00DF701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5FA19BD-6467-4AC5-8832-3E56E727B1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636F14"/>
  </w:style>
  <w:style w:type="paragraph" w:styleId="Ttulo1">
    <w:name w:val="heading 1"/>
    <w:basedOn w:val="Normal"/>
    <w:link w:val="Ttulo1Car"/>
    <w:uiPriority w:val="9"/>
    <w:qFormat/>
    <w:rsid w:val="005A6C2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CL"/>
    </w:rPr>
  </w:style>
  <w:style w:type="paragraph" w:styleId="Ttulo4">
    <w:name w:val="heading 4"/>
    <w:basedOn w:val="Normal"/>
    <w:next w:val="Normal"/>
    <w:link w:val="Ttulo4Car"/>
    <w:uiPriority w:val="9"/>
    <w:semiHidden/>
    <w:unhideWhenUsed/>
    <w:qFormat/>
    <w:rsid w:val="005A6C27"/>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A3A6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A3A68"/>
    <w:rPr>
      <w:rFonts w:ascii="Tahoma" w:hAnsi="Tahoma" w:cs="Tahoma"/>
      <w:sz w:val="16"/>
      <w:szCs w:val="16"/>
    </w:rPr>
  </w:style>
  <w:style w:type="character" w:customStyle="1" w:styleId="Ttulo1Car">
    <w:name w:val="Título 1 Car"/>
    <w:basedOn w:val="Fuentedeprrafopredeter"/>
    <w:link w:val="Ttulo1"/>
    <w:uiPriority w:val="9"/>
    <w:rsid w:val="005A6C27"/>
    <w:rPr>
      <w:rFonts w:ascii="Times New Roman" w:eastAsia="Times New Roman" w:hAnsi="Times New Roman" w:cs="Times New Roman"/>
      <w:b/>
      <w:bCs/>
      <w:kern w:val="36"/>
      <w:sz w:val="48"/>
      <w:szCs w:val="48"/>
      <w:lang w:eastAsia="es-CL"/>
    </w:rPr>
  </w:style>
  <w:style w:type="paragraph" w:styleId="NormalWeb">
    <w:name w:val="Normal (Web)"/>
    <w:basedOn w:val="Normal"/>
    <w:uiPriority w:val="99"/>
    <w:unhideWhenUsed/>
    <w:rsid w:val="005A6C27"/>
    <w:pPr>
      <w:spacing w:before="100" w:beforeAutospacing="1" w:after="100" w:afterAutospacing="1" w:line="240" w:lineRule="auto"/>
    </w:pPr>
    <w:rPr>
      <w:rFonts w:ascii="Times New Roman" w:eastAsia="Times New Roman" w:hAnsi="Times New Roman" w:cs="Times New Roman"/>
      <w:sz w:val="24"/>
      <w:szCs w:val="24"/>
      <w:lang w:eastAsia="es-CL"/>
    </w:rPr>
  </w:style>
  <w:style w:type="character" w:customStyle="1" w:styleId="apple-converted-space">
    <w:name w:val="apple-converted-space"/>
    <w:basedOn w:val="Fuentedeprrafopredeter"/>
    <w:rsid w:val="005A6C27"/>
  </w:style>
  <w:style w:type="character" w:styleId="Textoennegrita">
    <w:name w:val="Strong"/>
    <w:basedOn w:val="Fuentedeprrafopredeter"/>
    <w:uiPriority w:val="22"/>
    <w:qFormat/>
    <w:rsid w:val="005A6C27"/>
    <w:rPr>
      <w:b/>
      <w:bCs/>
    </w:rPr>
  </w:style>
  <w:style w:type="character" w:customStyle="1" w:styleId="Ttulo4Car">
    <w:name w:val="Título 4 Car"/>
    <w:basedOn w:val="Fuentedeprrafopredeter"/>
    <w:link w:val="Ttulo4"/>
    <w:uiPriority w:val="9"/>
    <w:semiHidden/>
    <w:rsid w:val="005A6C27"/>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3652969">
      <w:bodyDiv w:val="1"/>
      <w:marLeft w:val="0"/>
      <w:marRight w:val="0"/>
      <w:marTop w:val="0"/>
      <w:marBottom w:val="0"/>
      <w:divBdr>
        <w:top w:val="none" w:sz="0" w:space="0" w:color="auto"/>
        <w:left w:val="none" w:sz="0" w:space="0" w:color="auto"/>
        <w:bottom w:val="none" w:sz="0" w:space="0" w:color="auto"/>
        <w:right w:val="none" w:sz="0" w:space="0" w:color="auto"/>
      </w:divBdr>
    </w:div>
    <w:div w:id="1352141549">
      <w:bodyDiv w:val="1"/>
      <w:marLeft w:val="0"/>
      <w:marRight w:val="0"/>
      <w:marTop w:val="0"/>
      <w:marBottom w:val="0"/>
      <w:divBdr>
        <w:top w:val="none" w:sz="0" w:space="0" w:color="auto"/>
        <w:left w:val="none" w:sz="0" w:space="0" w:color="auto"/>
        <w:bottom w:val="none" w:sz="0" w:space="0" w:color="auto"/>
        <w:right w:val="none" w:sz="0" w:space="0" w:color="auto"/>
      </w:divBdr>
    </w:div>
    <w:div w:id="1402829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10"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1513</Words>
  <Characters>8324</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antonella giglio</dc:creator>
  <cp:lastModifiedBy>Dánisa Fabiola Estay Vega</cp:lastModifiedBy>
  <cp:revision>2</cp:revision>
  <dcterms:created xsi:type="dcterms:W3CDTF">2019-10-16T14:24:00Z</dcterms:created>
  <dcterms:modified xsi:type="dcterms:W3CDTF">2019-10-16T14:24:00Z</dcterms:modified>
</cp:coreProperties>
</file>